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A46F" w14:textId="77777777" w:rsidR="003C56DC" w:rsidRDefault="003C56DC" w:rsidP="003C56DC">
      <w:pPr>
        <w:jc w:val="center"/>
        <w:rPr>
          <w:b/>
          <w:bCs/>
        </w:rPr>
      </w:pPr>
      <w:r>
        <w:rPr>
          <w:b/>
          <w:bCs/>
        </w:rPr>
        <w:t>UNITED STATES DISTRICT COURT</w:t>
      </w:r>
    </w:p>
    <w:p w14:paraId="004D2140" w14:textId="77777777" w:rsidR="003C56DC" w:rsidRDefault="003C56DC" w:rsidP="003C56DC">
      <w:pPr>
        <w:jc w:val="center"/>
        <w:rPr>
          <w:b/>
          <w:bCs/>
        </w:rPr>
      </w:pPr>
      <w:r>
        <w:rPr>
          <w:b/>
          <w:bCs/>
        </w:rPr>
        <w:t>SOUTHERN DISTRICT OF OHIO</w:t>
      </w:r>
    </w:p>
    <w:p w14:paraId="2A014F85" w14:textId="77777777" w:rsidR="003C56DC" w:rsidRDefault="003C56DC" w:rsidP="003C56DC">
      <w:pPr>
        <w:jc w:val="center"/>
        <w:rPr>
          <w:b/>
          <w:bCs/>
        </w:rPr>
      </w:pPr>
      <w:r>
        <w:rPr>
          <w:b/>
          <w:bCs/>
        </w:rPr>
        <w:t>EASTERN DIVISION</w:t>
      </w:r>
    </w:p>
    <w:p w14:paraId="0F546ECC" w14:textId="77777777" w:rsidR="003C56DC" w:rsidRDefault="003C56DC" w:rsidP="003C56DC">
      <w:pPr>
        <w:jc w:val="center"/>
        <w:rPr>
          <w:b/>
          <w:bCs/>
        </w:rPr>
      </w:pPr>
    </w:p>
    <w:p w14:paraId="352B42EE" w14:textId="77777777" w:rsidR="003C56DC" w:rsidRDefault="003C56DC" w:rsidP="003C56DC">
      <w:pPr>
        <w:jc w:val="center"/>
        <w:rPr>
          <w:b/>
          <w:bCs/>
        </w:rPr>
      </w:pPr>
    </w:p>
    <w:p w14:paraId="57B36E7D" w14:textId="544BF50E" w:rsidR="003C56DC" w:rsidRDefault="003C56DC" w:rsidP="003C56DC">
      <w:pPr>
        <w:jc w:val="center"/>
        <w:rPr>
          <w:b/>
          <w:bCs/>
          <w:u w:val="single"/>
        </w:rPr>
      </w:pPr>
      <w:r>
        <w:rPr>
          <w:b/>
          <w:bCs/>
          <w:u w:val="single"/>
        </w:rPr>
        <w:t>GENERAL STANDING ORDERS ON</w:t>
      </w:r>
      <w:r>
        <w:rPr>
          <w:b/>
          <w:bCs/>
          <w:u w:val="single"/>
        </w:rPr>
        <w:t xml:space="preserve"> CIVIL PRETRIAL</w:t>
      </w:r>
      <w:r>
        <w:rPr>
          <w:b/>
          <w:bCs/>
          <w:u w:val="single"/>
        </w:rPr>
        <w:t xml:space="preserve"> PROCEDURES</w:t>
      </w:r>
      <w:r>
        <w:rPr>
          <w:b/>
          <w:bCs/>
          <w:vertAlign w:val="superscript"/>
        </w:rPr>
        <w:footnoteReference w:id="1"/>
      </w:r>
    </w:p>
    <w:p w14:paraId="19A29CEF" w14:textId="77777777" w:rsidR="003C56DC" w:rsidRDefault="003C56DC" w:rsidP="003C56DC">
      <w:pPr>
        <w:jc w:val="center"/>
        <w:rPr>
          <w:b/>
          <w:bCs/>
        </w:rPr>
      </w:pPr>
    </w:p>
    <w:p w14:paraId="0E6B4967" w14:textId="77777777" w:rsidR="003C56DC" w:rsidRDefault="003C56DC" w:rsidP="003C56DC">
      <w:pPr>
        <w:jc w:val="center"/>
        <w:rPr>
          <w:b/>
          <w:bCs/>
          <w:u w:val="single"/>
        </w:rPr>
      </w:pPr>
    </w:p>
    <w:p w14:paraId="18554909" w14:textId="1EAFE1DE" w:rsidR="003C56DC" w:rsidRDefault="003C56DC" w:rsidP="00A67454">
      <w:pPr>
        <w:jc w:val="both"/>
        <w:rPr>
          <w:b/>
          <w:bCs/>
          <w:color w:val="000000"/>
        </w:rPr>
      </w:pPr>
      <w:r>
        <w:rPr>
          <w:b/>
          <w:bCs/>
        </w:rPr>
        <w:t xml:space="preserve">I. </w:t>
      </w:r>
      <w:r>
        <w:rPr>
          <w:b/>
          <w:bCs/>
        </w:rPr>
        <w:tab/>
      </w:r>
      <w:r>
        <w:rPr>
          <w:b/>
          <w:bCs/>
          <w:u w:val="single"/>
        </w:rPr>
        <w:t xml:space="preserve">RULE 16(B) PRELIMINARY PRETRIAL CONFERENCE </w:t>
      </w:r>
    </w:p>
    <w:p w14:paraId="1ADF8D2D" w14:textId="77777777" w:rsidR="003C56DC" w:rsidRDefault="003C56DC" w:rsidP="003C56DC">
      <w:pPr>
        <w:jc w:val="both"/>
        <w:rPr>
          <w:b/>
          <w:bCs/>
        </w:rPr>
      </w:pPr>
    </w:p>
    <w:p w14:paraId="0D37C5F3" w14:textId="77777777" w:rsidR="003C56DC" w:rsidRDefault="003C56DC" w:rsidP="003C56DC">
      <w:pPr>
        <w:jc w:val="both"/>
        <w:rPr>
          <w:b/>
          <w:bCs/>
        </w:rPr>
      </w:pPr>
      <w:r>
        <w:t>Pursuant to Federal Rule of Civil Procedure 16(b), S.D. Ohio Civ. R. 16.2, and General Order on Pretrial Order No. 01-1, the parties shall do the following:</w:t>
      </w:r>
    </w:p>
    <w:p w14:paraId="2FB1C382" w14:textId="77777777" w:rsidR="003C56DC" w:rsidRDefault="003C56DC" w:rsidP="003C56DC">
      <w:pPr>
        <w:jc w:val="both"/>
        <w:rPr>
          <w:b/>
          <w:bCs/>
        </w:rPr>
      </w:pPr>
    </w:p>
    <w:p w14:paraId="51A62FF6" w14:textId="09D09623" w:rsidR="003C56DC" w:rsidRDefault="00A67454" w:rsidP="00A67454">
      <w:pPr>
        <w:pBdr>
          <w:top w:val="nil"/>
          <w:left w:val="nil"/>
          <w:bottom w:val="nil"/>
          <w:right w:val="nil"/>
          <w:between w:val="nil"/>
        </w:pBdr>
        <w:ind w:firstLine="720"/>
        <w:jc w:val="both"/>
        <w:rPr>
          <w:b/>
          <w:bCs/>
          <w:color w:val="000000"/>
        </w:rPr>
      </w:pPr>
      <w:r w:rsidRPr="00A67454">
        <w:rPr>
          <w:b/>
          <w:bCs/>
          <w:color w:val="000000"/>
        </w:rPr>
        <w:t>A.</w:t>
      </w:r>
      <w:r w:rsidRPr="00A67454">
        <w:rPr>
          <w:b/>
          <w:bCs/>
          <w:color w:val="000000"/>
        </w:rPr>
        <w:tab/>
      </w:r>
      <w:r w:rsidR="003C56DC">
        <w:rPr>
          <w:b/>
          <w:bCs/>
          <w:color w:val="000000"/>
          <w:u w:val="single"/>
        </w:rPr>
        <w:t>Meet and Confer</w:t>
      </w:r>
    </w:p>
    <w:p w14:paraId="6F8AD31F" w14:textId="77777777" w:rsidR="003C56DC" w:rsidRDefault="003C56DC" w:rsidP="003C56DC">
      <w:pPr>
        <w:jc w:val="both"/>
        <w:rPr>
          <w:b/>
          <w:bCs/>
        </w:rPr>
      </w:pPr>
    </w:p>
    <w:p w14:paraId="3BD23589" w14:textId="77777777" w:rsidR="003C56DC" w:rsidRDefault="003C56DC" w:rsidP="003C56DC">
      <w:pPr>
        <w:jc w:val="both"/>
      </w:pPr>
      <w:r>
        <w:t xml:space="preserve">No later than twenty-one (21) days prior the Rule 16(b) Preliminary Pretrial Conference, the parties shall meet and confer with each other in good faith to consider the nature and basis of the claims and defenses presented in the case, the discovery that will be reasonably necessary to the resolution of the case, the matters expected to be addressed by the Court at the Rule 16(b) Preliminary Pretrial Conference, and the speedy resolution of the case.  </w:t>
      </w:r>
    </w:p>
    <w:p w14:paraId="0A5CAA8E" w14:textId="77777777" w:rsidR="003C56DC" w:rsidRDefault="003C56DC" w:rsidP="003C56DC">
      <w:pPr>
        <w:ind w:left="1440"/>
        <w:jc w:val="both"/>
        <w:rPr>
          <w:b/>
          <w:bCs/>
        </w:rPr>
      </w:pPr>
    </w:p>
    <w:p w14:paraId="2007BEA3" w14:textId="53650A72" w:rsidR="003C56DC" w:rsidRDefault="00A67454" w:rsidP="00A67454">
      <w:pPr>
        <w:ind w:firstLine="720"/>
        <w:jc w:val="both"/>
        <w:rPr>
          <w:b/>
          <w:bCs/>
        </w:rPr>
      </w:pPr>
      <w:r>
        <w:rPr>
          <w:b/>
          <w:bCs/>
        </w:rPr>
        <w:t>B.</w:t>
      </w:r>
      <w:r>
        <w:rPr>
          <w:b/>
          <w:bCs/>
        </w:rPr>
        <w:tab/>
      </w:r>
      <w:r w:rsidR="003C56DC">
        <w:rPr>
          <w:b/>
          <w:bCs/>
          <w:u w:val="single"/>
        </w:rPr>
        <w:t>Rule 26(f) Report</w:t>
      </w:r>
      <w:r w:rsidR="003C56DC">
        <w:rPr>
          <w:b/>
          <w:bCs/>
          <w:vertAlign w:val="superscript"/>
        </w:rPr>
        <w:footnoteReference w:id="2"/>
      </w:r>
      <w:r w:rsidR="003C56DC">
        <w:rPr>
          <w:b/>
          <w:bCs/>
        </w:rPr>
        <w:tab/>
      </w:r>
      <w:r w:rsidR="003C56DC">
        <w:rPr>
          <w:b/>
          <w:bCs/>
        </w:rPr>
        <w:tab/>
      </w:r>
    </w:p>
    <w:p w14:paraId="64293DC4" w14:textId="77777777" w:rsidR="003C56DC" w:rsidRDefault="003C56DC" w:rsidP="003C56DC">
      <w:pPr>
        <w:jc w:val="both"/>
      </w:pPr>
    </w:p>
    <w:p w14:paraId="1D337E25" w14:textId="77777777" w:rsidR="003C56DC" w:rsidRDefault="003C56DC" w:rsidP="003C56DC">
      <w:pPr>
        <w:jc w:val="both"/>
      </w:pPr>
      <w:r>
        <w:t xml:space="preserve">No later than (7) days prior to the Rule 16(b) preliminary pretrial conference, the parties shall file their joint Rule 26(f) Report, using the required form available at </w:t>
      </w:r>
      <w:hyperlink r:id="rId7">
        <w:r>
          <w:rPr>
            <w:color w:val="0000FF"/>
            <w:u w:val="single"/>
          </w:rPr>
          <w:t>https://www.ohsd.uscourts.gov/ohio-southern-district-forms</w:t>
        </w:r>
      </w:hyperlink>
      <w:r>
        <w:t>.</w:t>
      </w:r>
    </w:p>
    <w:p w14:paraId="0AEDD4AA" w14:textId="77777777" w:rsidR="0079284B" w:rsidRDefault="003C56DC" w:rsidP="0079284B">
      <w:pPr>
        <w:jc w:val="both"/>
      </w:pPr>
      <w:r>
        <w:t xml:space="preserve">  </w:t>
      </w:r>
    </w:p>
    <w:p w14:paraId="18E8C383" w14:textId="06371A05" w:rsidR="003C56DC" w:rsidRDefault="00A67454" w:rsidP="0079284B">
      <w:pPr>
        <w:ind w:firstLine="720"/>
        <w:jc w:val="both"/>
        <w:rPr>
          <w:b/>
          <w:bCs/>
        </w:rPr>
      </w:pPr>
      <w:r>
        <w:rPr>
          <w:b/>
          <w:bCs/>
        </w:rPr>
        <w:t>C.</w:t>
      </w:r>
      <w:r>
        <w:rPr>
          <w:b/>
          <w:bCs/>
        </w:rPr>
        <w:tab/>
      </w:r>
      <w:r w:rsidR="003C56DC">
        <w:rPr>
          <w:b/>
          <w:bCs/>
          <w:u w:val="single"/>
        </w:rPr>
        <w:t>Conference Method</w:t>
      </w:r>
    </w:p>
    <w:p w14:paraId="34A139DA" w14:textId="77777777" w:rsidR="003C56DC" w:rsidRDefault="003C56DC" w:rsidP="003C56DC">
      <w:pPr>
        <w:jc w:val="both"/>
        <w:rPr>
          <w:b/>
          <w:bCs/>
        </w:rPr>
      </w:pPr>
    </w:p>
    <w:p w14:paraId="2835420E" w14:textId="7771FEED" w:rsidR="003C56DC" w:rsidRDefault="003C56DC" w:rsidP="003C56DC">
      <w:pPr>
        <w:jc w:val="both"/>
      </w:pPr>
      <w:r>
        <w:t xml:space="preserve">Unless otherwise specified and/or requested, the Rule 16(b) Preliminary Pretrial Conference will be held telephonically.  Call-in </w:t>
      </w:r>
      <w:r w:rsidR="008522B2">
        <w:t>i</w:t>
      </w:r>
      <w:r>
        <w:t xml:space="preserve">nformation will be included in the Order setting the Preliminary Pretrial Conference.  </w:t>
      </w:r>
    </w:p>
    <w:p w14:paraId="46AD70C1" w14:textId="77777777" w:rsidR="000925D3" w:rsidRDefault="000925D3" w:rsidP="003C56DC">
      <w:pPr>
        <w:jc w:val="both"/>
      </w:pPr>
    </w:p>
    <w:p w14:paraId="449D053E" w14:textId="5821B1E7" w:rsidR="003C56DC" w:rsidRDefault="003C56DC" w:rsidP="00A67454">
      <w:pPr>
        <w:keepNext/>
        <w:jc w:val="both"/>
        <w:rPr>
          <w:b/>
          <w:bCs/>
        </w:rPr>
      </w:pPr>
      <w:r>
        <w:rPr>
          <w:b/>
          <w:bCs/>
        </w:rPr>
        <w:lastRenderedPageBreak/>
        <w:tab/>
      </w:r>
      <w:r w:rsidR="00A67454">
        <w:rPr>
          <w:b/>
          <w:bCs/>
        </w:rPr>
        <w:t>D.</w:t>
      </w:r>
      <w:r w:rsidR="00A67454">
        <w:rPr>
          <w:b/>
          <w:bCs/>
        </w:rPr>
        <w:tab/>
      </w:r>
      <w:r>
        <w:rPr>
          <w:b/>
          <w:bCs/>
          <w:u w:val="single"/>
        </w:rPr>
        <w:t>Preliminary Pretrial Conference Topics</w:t>
      </w:r>
    </w:p>
    <w:p w14:paraId="56DEEB79" w14:textId="77777777" w:rsidR="003C56DC" w:rsidRDefault="003C56DC" w:rsidP="00A67454">
      <w:pPr>
        <w:keepNext/>
        <w:jc w:val="both"/>
        <w:rPr>
          <w:b/>
          <w:bCs/>
        </w:rPr>
      </w:pPr>
    </w:p>
    <w:p w14:paraId="40FC5387" w14:textId="77777777" w:rsidR="003C56DC" w:rsidRDefault="003C56DC" w:rsidP="00A67454">
      <w:pPr>
        <w:keepNext/>
        <w:jc w:val="both"/>
      </w:pPr>
      <w:r>
        <w:t>At the Preliminary Pretrial Conference, counsel shall be prepared to discuss issues related to any of the following: (a) venue; (b) jurisdiction; (c) parties (joinder, dismissal, third-parties, etc.); (d) pleadings and anticipated preliminary motions; (e) main issues of the case; (f) discovery and disclosures; (g) estimated time to final pretrial conference and trial; (h) settlement and alternative dispute resolution; and (i) any other outstanding matters.</w:t>
      </w:r>
    </w:p>
    <w:p w14:paraId="2B1D4254" w14:textId="77777777" w:rsidR="003C56DC" w:rsidRDefault="003C56DC" w:rsidP="003C56DC">
      <w:pPr>
        <w:jc w:val="both"/>
      </w:pPr>
    </w:p>
    <w:p w14:paraId="1C8653A7" w14:textId="54191F46" w:rsidR="003C56DC" w:rsidRDefault="003C56DC" w:rsidP="003C56DC">
      <w:pPr>
        <w:jc w:val="both"/>
        <w:rPr>
          <w:b/>
          <w:bCs/>
        </w:rPr>
      </w:pPr>
      <w:r>
        <w:rPr>
          <w:b/>
          <w:bCs/>
        </w:rPr>
        <w:tab/>
      </w:r>
      <w:r w:rsidR="00A67454">
        <w:rPr>
          <w:b/>
          <w:bCs/>
        </w:rPr>
        <w:t>E.</w:t>
      </w:r>
      <w:r w:rsidR="00A67454">
        <w:rPr>
          <w:b/>
          <w:bCs/>
        </w:rPr>
        <w:tab/>
      </w:r>
      <w:r>
        <w:rPr>
          <w:b/>
          <w:bCs/>
          <w:u w:val="single"/>
        </w:rPr>
        <w:t>Non-Prisoner Pro Se Cases</w:t>
      </w:r>
    </w:p>
    <w:p w14:paraId="6843FDEA" w14:textId="77777777" w:rsidR="003C56DC" w:rsidRDefault="003C56DC" w:rsidP="003C56DC">
      <w:pPr>
        <w:jc w:val="both"/>
        <w:rPr>
          <w:b/>
          <w:bCs/>
        </w:rPr>
      </w:pPr>
    </w:p>
    <w:p w14:paraId="1370E875" w14:textId="77777777" w:rsidR="003C56DC" w:rsidRDefault="003C56DC" w:rsidP="003C56DC">
      <w:pPr>
        <w:jc w:val="both"/>
      </w:pPr>
      <w:r>
        <w:t xml:space="preserve">Preliminary Pretrial Conferences shall be required in all matters involving non-prisoner, pro se litigants unless ordered otherwise. </w:t>
      </w:r>
    </w:p>
    <w:p w14:paraId="6D9279F0" w14:textId="77777777" w:rsidR="003C56DC" w:rsidRDefault="003C56DC" w:rsidP="003C56DC">
      <w:pPr>
        <w:ind w:firstLine="720"/>
        <w:jc w:val="both"/>
        <w:rPr>
          <w:b/>
          <w:bCs/>
        </w:rPr>
      </w:pPr>
    </w:p>
    <w:p w14:paraId="275CD730" w14:textId="1FC56813" w:rsidR="003C56DC" w:rsidRDefault="00A67454" w:rsidP="00A67454">
      <w:pPr>
        <w:jc w:val="both"/>
        <w:rPr>
          <w:b/>
          <w:bCs/>
        </w:rPr>
      </w:pPr>
      <w:r>
        <w:rPr>
          <w:b/>
          <w:bCs/>
        </w:rPr>
        <w:t>II.</w:t>
      </w:r>
      <w:r>
        <w:rPr>
          <w:b/>
          <w:bCs/>
        </w:rPr>
        <w:tab/>
      </w:r>
      <w:r w:rsidR="003C56DC">
        <w:rPr>
          <w:b/>
          <w:bCs/>
          <w:u w:val="single"/>
        </w:rPr>
        <w:t>DISCOVERY</w:t>
      </w:r>
    </w:p>
    <w:p w14:paraId="2FB80E9A" w14:textId="77777777" w:rsidR="003C56DC" w:rsidRDefault="003C56DC" w:rsidP="003C56DC">
      <w:pPr>
        <w:jc w:val="both"/>
        <w:rPr>
          <w:b/>
          <w:bCs/>
        </w:rPr>
      </w:pPr>
    </w:p>
    <w:p w14:paraId="4314EC55" w14:textId="38AE0F72" w:rsidR="003C56DC" w:rsidRDefault="00A67454" w:rsidP="00A67454">
      <w:pPr>
        <w:pBdr>
          <w:top w:val="nil"/>
          <w:left w:val="nil"/>
          <w:bottom w:val="nil"/>
          <w:right w:val="nil"/>
          <w:between w:val="nil"/>
        </w:pBdr>
        <w:ind w:firstLine="720"/>
        <w:jc w:val="both"/>
        <w:rPr>
          <w:color w:val="000000"/>
        </w:rPr>
      </w:pPr>
      <w:r w:rsidRPr="00A67454">
        <w:rPr>
          <w:b/>
          <w:bCs/>
          <w:color w:val="000000"/>
        </w:rPr>
        <w:t>A.</w:t>
      </w:r>
      <w:r w:rsidRPr="00A67454">
        <w:rPr>
          <w:b/>
          <w:bCs/>
          <w:color w:val="000000"/>
        </w:rPr>
        <w:tab/>
      </w:r>
      <w:r w:rsidR="003C56DC">
        <w:rPr>
          <w:b/>
          <w:bCs/>
          <w:color w:val="000000"/>
          <w:u w:val="single"/>
        </w:rPr>
        <w:t>In General</w:t>
      </w:r>
    </w:p>
    <w:p w14:paraId="14BB502C" w14:textId="77777777" w:rsidR="003C56DC" w:rsidRDefault="003C56DC" w:rsidP="003C56DC">
      <w:pPr>
        <w:ind w:left="720"/>
        <w:jc w:val="both"/>
      </w:pPr>
    </w:p>
    <w:p w14:paraId="70FF72E9" w14:textId="77777777" w:rsidR="003C56DC" w:rsidRDefault="003C56DC" w:rsidP="003C56DC">
      <w:pPr>
        <w:jc w:val="both"/>
      </w:pPr>
      <w:r>
        <w:t xml:space="preserve">Generally, discovery materials should not be filed with the Court unless a party is using them to support a motion for which they are required. </w:t>
      </w:r>
    </w:p>
    <w:p w14:paraId="12E84710" w14:textId="77777777" w:rsidR="003C56DC" w:rsidRDefault="003C56DC" w:rsidP="003C56DC">
      <w:pPr>
        <w:ind w:left="720"/>
        <w:jc w:val="both"/>
      </w:pPr>
    </w:p>
    <w:p w14:paraId="73FAF25F" w14:textId="4EF08DBA" w:rsidR="003C56DC" w:rsidRDefault="00A67454" w:rsidP="00A67454">
      <w:pPr>
        <w:ind w:firstLine="720"/>
        <w:jc w:val="both"/>
      </w:pPr>
      <w:r>
        <w:rPr>
          <w:b/>
          <w:bCs/>
        </w:rPr>
        <w:t>B.</w:t>
      </w:r>
      <w:r>
        <w:rPr>
          <w:b/>
          <w:bCs/>
        </w:rPr>
        <w:tab/>
      </w:r>
      <w:r w:rsidR="003C56DC">
        <w:rPr>
          <w:b/>
          <w:bCs/>
          <w:u w:val="single"/>
        </w:rPr>
        <w:t>Motions Relating to Discover</w:t>
      </w:r>
      <w:r w:rsidR="003C56DC">
        <w:rPr>
          <w:b/>
          <w:bCs/>
        </w:rPr>
        <w:t xml:space="preserve">y </w:t>
      </w:r>
      <w:r w:rsidR="003C56DC">
        <w:t xml:space="preserve">  </w:t>
      </w:r>
    </w:p>
    <w:p w14:paraId="7D31243D" w14:textId="77777777" w:rsidR="003C56DC" w:rsidRDefault="003C56DC" w:rsidP="003C56DC">
      <w:pPr>
        <w:jc w:val="both"/>
      </w:pPr>
    </w:p>
    <w:p w14:paraId="61483091" w14:textId="77777777" w:rsidR="003C56DC" w:rsidRDefault="003C56DC" w:rsidP="003C56DC">
      <w:pPr>
        <w:jc w:val="both"/>
      </w:pPr>
      <w:r>
        <w:t xml:space="preserve">The Court </w:t>
      </w:r>
      <w:r>
        <w:rPr>
          <w:u w:val="single"/>
        </w:rPr>
        <w:t>will not</w:t>
      </w:r>
      <w:r>
        <w:t xml:space="preserve"> permit the filing of motions relating to discovery until an informal discovery conference, as described below, is held. </w:t>
      </w:r>
    </w:p>
    <w:p w14:paraId="297C26FC" w14:textId="77777777" w:rsidR="003C56DC" w:rsidRDefault="003C56DC" w:rsidP="003C56DC">
      <w:pPr>
        <w:jc w:val="both"/>
      </w:pPr>
    </w:p>
    <w:p w14:paraId="1AF05223" w14:textId="6EFA2599" w:rsidR="003C56DC" w:rsidRDefault="00A67454" w:rsidP="00A67454">
      <w:pPr>
        <w:ind w:firstLine="720"/>
        <w:jc w:val="both"/>
        <w:rPr>
          <w:u w:val="single"/>
        </w:rPr>
      </w:pPr>
      <w:r>
        <w:rPr>
          <w:b/>
          <w:bCs/>
        </w:rPr>
        <w:t>C.</w:t>
      </w:r>
      <w:r>
        <w:rPr>
          <w:b/>
          <w:bCs/>
        </w:rPr>
        <w:tab/>
      </w:r>
      <w:r w:rsidR="003C56DC">
        <w:rPr>
          <w:b/>
          <w:bCs/>
          <w:u w:val="single"/>
        </w:rPr>
        <w:t>Informal Discovery Conference Procedure</w:t>
      </w:r>
    </w:p>
    <w:p w14:paraId="108BD239" w14:textId="77777777" w:rsidR="003C56DC" w:rsidRDefault="003C56DC" w:rsidP="003C56DC">
      <w:pPr>
        <w:jc w:val="both"/>
      </w:pPr>
    </w:p>
    <w:p w14:paraId="5F0C8F73" w14:textId="77777777" w:rsidR="003C56DC" w:rsidRDefault="003C56DC" w:rsidP="003C56DC">
      <w:pPr>
        <w:widowControl/>
        <w:jc w:val="both"/>
      </w:pPr>
      <w:r>
        <w:t xml:space="preserve">Pursuant to the Federal and Local Rules of Civil Procedure, the parties must exhaust all extrajudicial means of resolving discovery disputes before contacting the Court.  </w:t>
      </w:r>
      <w:r>
        <w:rPr>
          <w:i/>
          <w:iCs/>
        </w:rPr>
        <w:t>See</w:t>
      </w:r>
      <w:r>
        <w:t xml:space="preserve"> Fed. R. Civ. P. 37(a)(2); S.D. Ohio Civ. R. 37.1.  </w:t>
      </w:r>
    </w:p>
    <w:p w14:paraId="7FE81833" w14:textId="77777777" w:rsidR="003C56DC" w:rsidRDefault="003C56DC" w:rsidP="003C56DC">
      <w:pPr>
        <w:widowControl/>
        <w:jc w:val="both"/>
      </w:pPr>
    </w:p>
    <w:p w14:paraId="05F54C2D" w14:textId="77777777" w:rsidR="003C56DC" w:rsidRDefault="003C56DC" w:rsidP="003C56DC">
      <w:pPr>
        <w:widowControl/>
        <w:jc w:val="both"/>
      </w:pPr>
      <w:r>
        <w:t xml:space="preserve">If the parties are unable to resolve the dispute informally, they must contact chambers at 614-719-3460 or email Shimeall_Chambers@oshd.uscourts.gov and request a discovery conference.  The Court will work to schedule a discovery conference as soon as practicable.  Prior to the conference, the Court may request letter briefs outlining the parties’ positions.  Any letter briefing should not exceed three (3) pages, exclusive of attachments.  Responses will not be permitted.  The parties are to email, not file, to Chambers the letter briefing and any relevant documents related to the dispute in advance of the conference, and opposing counsel should be copied.  </w:t>
      </w:r>
    </w:p>
    <w:p w14:paraId="2E780056" w14:textId="77777777" w:rsidR="003C56DC" w:rsidRDefault="003C56DC" w:rsidP="003C56DC">
      <w:pPr>
        <w:widowControl/>
        <w:jc w:val="both"/>
      </w:pPr>
    </w:p>
    <w:p w14:paraId="4CB1C09A" w14:textId="77777777" w:rsidR="003C56DC" w:rsidRDefault="003C56DC" w:rsidP="003C56DC">
      <w:pPr>
        <w:widowControl/>
        <w:jc w:val="both"/>
      </w:pPr>
      <w:r>
        <w:t>If the Court is unable to resolve the dispute after the conference, it will set a briefing schedule for the parties to file their respective motions and briefs.</w:t>
      </w:r>
    </w:p>
    <w:p w14:paraId="5A36BA39" w14:textId="77777777" w:rsidR="003C56DC" w:rsidRDefault="003C56DC" w:rsidP="003C56DC">
      <w:pPr>
        <w:jc w:val="both"/>
      </w:pPr>
    </w:p>
    <w:p w14:paraId="0092F43A" w14:textId="1FC22F11" w:rsidR="003C56DC" w:rsidRDefault="00A67454" w:rsidP="00A67454">
      <w:pPr>
        <w:ind w:firstLine="720"/>
        <w:jc w:val="both"/>
        <w:rPr>
          <w:b/>
          <w:bCs/>
          <w:u w:val="single"/>
        </w:rPr>
      </w:pPr>
      <w:r>
        <w:rPr>
          <w:b/>
          <w:bCs/>
        </w:rPr>
        <w:t>D.</w:t>
      </w:r>
      <w:r>
        <w:rPr>
          <w:b/>
          <w:bCs/>
        </w:rPr>
        <w:tab/>
      </w:r>
      <w:r w:rsidR="003C56DC">
        <w:rPr>
          <w:b/>
          <w:bCs/>
          <w:u w:val="single"/>
        </w:rPr>
        <w:t>Depositions</w:t>
      </w:r>
    </w:p>
    <w:p w14:paraId="20B00E8B" w14:textId="77777777" w:rsidR="003C56DC" w:rsidRDefault="003C56DC" w:rsidP="003C56DC">
      <w:pPr>
        <w:jc w:val="both"/>
        <w:rPr>
          <w:b/>
          <w:bCs/>
        </w:rPr>
      </w:pPr>
    </w:p>
    <w:p w14:paraId="08CFC18E" w14:textId="779465FB" w:rsidR="003C56DC" w:rsidRDefault="003C56DC" w:rsidP="003C56DC">
      <w:pPr>
        <w:jc w:val="both"/>
      </w:pPr>
      <w:r>
        <w:t xml:space="preserve">If a dispute arises during a deposition, counsel must attempt in good faith to resolve the dispute.  </w:t>
      </w:r>
      <w:r>
        <w:lastRenderedPageBreak/>
        <w:t>If counsel are unable to resolve a dispute during a deposition, counsel must contact the Courtroom Deputy at 614-719-3460 about the dispute and seek the Court’s aid in resolving it.</w:t>
      </w:r>
    </w:p>
    <w:p w14:paraId="4ADE74C9" w14:textId="77777777" w:rsidR="00A67454" w:rsidRDefault="00A67454" w:rsidP="003C56DC">
      <w:pPr>
        <w:jc w:val="both"/>
        <w:rPr>
          <w:b/>
          <w:bCs/>
        </w:rPr>
      </w:pPr>
    </w:p>
    <w:p w14:paraId="254112B5" w14:textId="24E5CED3" w:rsidR="003C56DC" w:rsidRDefault="00A67454" w:rsidP="00A67454">
      <w:pPr>
        <w:keepNext/>
        <w:jc w:val="both"/>
        <w:rPr>
          <w:b/>
          <w:bCs/>
        </w:rPr>
      </w:pPr>
      <w:r>
        <w:rPr>
          <w:b/>
          <w:bCs/>
        </w:rPr>
        <w:t>III.</w:t>
      </w:r>
      <w:r>
        <w:rPr>
          <w:b/>
          <w:bCs/>
        </w:rPr>
        <w:tab/>
      </w:r>
      <w:r w:rsidR="003C56DC">
        <w:rPr>
          <w:b/>
          <w:bCs/>
          <w:u w:val="single"/>
        </w:rPr>
        <w:t>PROTECTIVE ORDERS</w:t>
      </w:r>
    </w:p>
    <w:p w14:paraId="4C7768BB" w14:textId="77777777" w:rsidR="003C56DC" w:rsidRDefault="003C56DC" w:rsidP="003C56DC">
      <w:pPr>
        <w:keepNext/>
        <w:jc w:val="both"/>
        <w:rPr>
          <w:b/>
          <w:bCs/>
        </w:rPr>
      </w:pPr>
    </w:p>
    <w:p w14:paraId="1BF9AE42" w14:textId="77777777" w:rsidR="003C56DC" w:rsidRDefault="003C56DC" w:rsidP="003C56DC">
      <w:pPr>
        <w:keepNext/>
        <w:jc w:val="both"/>
        <w:rPr>
          <w:color w:val="000000"/>
        </w:rPr>
      </w:pPr>
      <w:r>
        <w:rPr>
          <w:color w:val="000000"/>
        </w:rPr>
        <w:t xml:space="preserve">If the parties jointly seek approval and entry of a protective order other than the ones appearing in Ohio Southern District Forms, available at </w:t>
      </w:r>
      <w:hyperlink r:id="rId8">
        <w:r>
          <w:rPr>
            <w:color w:val="0000FF"/>
            <w:u w:val="single"/>
          </w:rPr>
          <w:t>https://www.ohsd.uscourts.gov/ohio-southern-district-forms</w:t>
        </w:r>
      </w:hyperlink>
      <w:r>
        <w:rPr>
          <w:color w:val="000000"/>
        </w:rPr>
        <w:t>, they must email a Word version of the proposed protective order to the Court at Shimeall_Chambers@ohsd.uscourts.gov.</w:t>
      </w:r>
    </w:p>
    <w:p w14:paraId="549ECD60" w14:textId="77777777" w:rsidR="003C56DC" w:rsidRDefault="003C56DC" w:rsidP="003C56DC">
      <w:pPr>
        <w:jc w:val="both"/>
        <w:rPr>
          <w:b/>
          <w:bCs/>
        </w:rPr>
      </w:pPr>
    </w:p>
    <w:p w14:paraId="6B39CCF1" w14:textId="74896A52" w:rsidR="003C56DC" w:rsidRDefault="00A67454" w:rsidP="00A67454">
      <w:pPr>
        <w:jc w:val="both"/>
        <w:rPr>
          <w:b/>
          <w:bCs/>
        </w:rPr>
      </w:pPr>
      <w:r>
        <w:rPr>
          <w:b/>
          <w:bCs/>
        </w:rPr>
        <w:t>IV</w:t>
      </w:r>
      <w:r w:rsidR="003C56DC">
        <w:rPr>
          <w:b/>
          <w:bCs/>
        </w:rPr>
        <w:t>.</w:t>
      </w:r>
      <w:r w:rsidR="003C56DC">
        <w:rPr>
          <w:b/>
          <w:bCs/>
        </w:rPr>
        <w:tab/>
      </w:r>
      <w:r w:rsidR="003C56DC">
        <w:rPr>
          <w:b/>
          <w:bCs/>
          <w:u w:val="single"/>
        </w:rPr>
        <w:t>MOTIONS</w:t>
      </w:r>
    </w:p>
    <w:p w14:paraId="23781710" w14:textId="77777777" w:rsidR="003C56DC" w:rsidRDefault="003C56DC" w:rsidP="003C56DC">
      <w:pPr>
        <w:jc w:val="both"/>
        <w:rPr>
          <w:b/>
          <w:bCs/>
        </w:rPr>
      </w:pPr>
    </w:p>
    <w:p w14:paraId="51198EAA" w14:textId="220F6B43" w:rsidR="003C56DC" w:rsidRDefault="00A67454" w:rsidP="00A67454">
      <w:pPr>
        <w:ind w:firstLine="720"/>
        <w:jc w:val="both"/>
      </w:pPr>
      <w:r>
        <w:rPr>
          <w:b/>
          <w:bCs/>
        </w:rPr>
        <w:t>A.</w:t>
      </w:r>
      <w:r>
        <w:rPr>
          <w:b/>
          <w:bCs/>
        </w:rPr>
        <w:tab/>
      </w:r>
      <w:r w:rsidR="003C56DC">
        <w:rPr>
          <w:b/>
          <w:bCs/>
          <w:u w:val="single"/>
        </w:rPr>
        <w:t>All Motions</w:t>
      </w:r>
    </w:p>
    <w:p w14:paraId="5C82DF08" w14:textId="77777777" w:rsidR="003C56DC" w:rsidRDefault="003C56DC" w:rsidP="003C56DC">
      <w:pPr>
        <w:jc w:val="both"/>
      </w:pPr>
    </w:p>
    <w:p w14:paraId="23B3167E" w14:textId="77777777" w:rsidR="003C56DC" w:rsidRDefault="003C56DC" w:rsidP="003C56DC">
      <w:pPr>
        <w:jc w:val="both"/>
      </w:pPr>
      <w:r>
        <w:t>Other than motions required by law to be set for a hearing with notice given to all counsel and motions upon which a specific request for a hearing has been made and granted by the Court, all motions shall be submitted without oral argument on the memoranda filed with the Clerk in accordance with the schedule set forth in S.D. Ohio Civ. R. 7.2, unless otherwise ordered.</w:t>
      </w:r>
    </w:p>
    <w:p w14:paraId="2872986C" w14:textId="77777777" w:rsidR="003C56DC" w:rsidRDefault="003C56DC" w:rsidP="003C56DC">
      <w:pPr>
        <w:jc w:val="both"/>
      </w:pPr>
    </w:p>
    <w:p w14:paraId="4F4E26FF" w14:textId="6F730D37" w:rsidR="003C56DC" w:rsidRDefault="00A67454" w:rsidP="00A67454">
      <w:pPr>
        <w:ind w:firstLine="720"/>
        <w:jc w:val="both"/>
      </w:pPr>
      <w:r>
        <w:rPr>
          <w:b/>
          <w:bCs/>
        </w:rPr>
        <w:t>B.</w:t>
      </w:r>
      <w:r>
        <w:rPr>
          <w:b/>
          <w:bCs/>
        </w:rPr>
        <w:tab/>
      </w:r>
      <w:r w:rsidR="003C56DC">
        <w:rPr>
          <w:b/>
          <w:bCs/>
          <w:u w:val="single"/>
        </w:rPr>
        <w:t>Proposed Orders</w:t>
      </w:r>
    </w:p>
    <w:p w14:paraId="043AF495" w14:textId="77777777" w:rsidR="003C56DC" w:rsidRDefault="003C56DC" w:rsidP="003C56DC">
      <w:pPr>
        <w:jc w:val="both"/>
      </w:pPr>
    </w:p>
    <w:p w14:paraId="64C5B9D7" w14:textId="77777777" w:rsidR="003C56DC" w:rsidRDefault="003C56DC" w:rsidP="003C56DC">
      <w:pPr>
        <w:jc w:val="both"/>
      </w:pPr>
      <w:r>
        <w:t xml:space="preserve">Routine motions for extensions of time or other similar type motions do not need to be accompanied by a proposed order. </w:t>
      </w:r>
    </w:p>
    <w:p w14:paraId="10775269" w14:textId="77777777" w:rsidR="003C56DC" w:rsidRDefault="003C56DC" w:rsidP="003C56DC">
      <w:pPr>
        <w:jc w:val="both"/>
      </w:pPr>
    </w:p>
    <w:p w14:paraId="4CA14FCC" w14:textId="624E46E8" w:rsidR="003C56DC" w:rsidRDefault="00A67454" w:rsidP="00A67454">
      <w:pPr>
        <w:jc w:val="both"/>
        <w:rPr>
          <w:b/>
          <w:bCs/>
        </w:rPr>
      </w:pPr>
      <w:r>
        <w:rPr>
          <w:b/>
          <w:bCs/>
        </w:rPr>
        <w:t>V.</w:t>
      </w:r>
      <w:r>
        <w:rPr>
          <w:b/>
          <w:bCs/>
        </w:rPr>
        <w:tab/>
      </w:r>
      <w:r w:rsidR="003C56DC">
        <w:rPr>
          <w:b/>
          <w:bCs/>
          <w:u w:val="single"/>
        </w:rPr>
        <w:t>LIMITATIONS ON BRIEFS AND MEMORANDA</w:t>
      </w:r>
    </w:p>
    <w:p w14:paraId="637F3427" w14:textId="77777777" w:rsidR="003C56DC" w:rsidRDefault="003C56DC" w:rsidP="003C56DC">
      <w:pPr>
        <w:jc w:val="both"/>
        <w:rPr>
          <w:b/>
          <w:bCs/>
        </w:rPr>
      </w:pPr>
    </w:p>
    <w:p w14:paraId="22009D5A" w14:textId="77777777" w:rsidR="003C56DC" w:rsidRDefault="003C56DC" w:rsidP="003C56DC">
      <w:pPr>
        <w:jc w:val="both"/>
      </w:pPr>
      <w:r>
        <w:t xml:space="preserve">Briefs and/or memoranda in support of or in opposition to any motion shall not exceed twenty pages unless a party </w:t>
      </w:r>
      <w:r>
        <w:rPr>
          <w:u w:val="single"/>
        </w:rPr>
        <w:t>first</w:t>
      </w:r>
      <w:r>
        <w:t xml:space="preserve"> obtains leave of court. </w:t>
      </w:r>
    </w:p>
    <w:p w14:paraId="0CA14FBA" w14:textId="77777777" w:rsidR="003C56DC" w:rsidRDefault="003C56DC" w:rsidP="003C56DC">
      <w:pPr>
        <w:jc w:val="both"/>
      </w:pPr>
    </w:p>
    <w:p w14:paraId="237C57BB" w14:textId="77777777" w:rsidR="003C56DC" w:rsidRDefault="003C56DC" w:rsidP="003C56DC">
      <w:pPr>
        <w:jc w:val="both"/>
      </w:pPr>
      <w:r>
        <w:t>A motion for leave must set forth the reasons excess pages are required and the number of pages sought.</w:t>
      </w:r>
    </w:p>
    <w:p w14:paraId="743E6D82" w14:textId="77777777" w:rsidR="003C56DC" w:rsidRDefault="003C56DC" w:rsidP="003C56DC">
      <w:pPr>
        <w:jc w:val="both"/>
      </w:pPr>
    </w:p>
    <w:p w14:paraId="19FC067F" w14:textId="77777777" w:rsidR="003C56DC" w:rsidRDefault="003C56DC" w:rsidP="003C56DC">
      <w:pPr>
        <w:jc w:val="both"/>
      </w:pPr>
      <w:r>
        <w:t>If leave of Court is granted, counsel need not comply with S.D. Ohio Civ. R. 7.2(a)(3).  All memoranda shall otherwise comply with the formal requirements of S.D. Ohio Civ. R. 7.2.</w:t>
      </w:r>
      <w:r>
        <w:tab/>
      </w:r>
      <w:r>
        <w:tab/>
      </w:r>
    </w:p>
    <w:p w14:paraId="7491E9C2" w14:textId="77777777" w:rsidR="003C56DC" w:rsidRDefault="003C56DC" w:rsidP="003C56DC">
      <w:pPr>
        <w:jc w:val="both"/>
      </w:pPr>
      <w:r>
        <w:t>In the spirit of compliance with the rules, all memoranda shall comport with the following:</w:t>
      </w:r>
    </w:p>
    <w:p w14:paraId="1CC1BD73" w14:textId="77777777" w:rsidR="003C56DC" w:rsidRDefault="003C56DC" w:rsidP="003C56DC">
      <w:pPr>
        <w:jc w:val="both"/>
      </w:pPr>
    </w:p>
    <w:p w14:paraId="4F8DB5ED" w14:textId="77777777" w:rsidR="003C56DC" w:rsidRDefault="003C56DC" w:rsidP="003C56DC">
      <w:pPr>
        <w:ind w:firstLine="720"/>
        <w:jc w:val="both"/>
      </w:pPr>
      <w:r>
        <w:t>1. One-inch margins top, bottom, left and right.</w:t>
      </w:r>
    </w:p>
    <w:p w14:paraId="0A891413" w14:textId="77777777" w:rsidR="003C56DC" w:rsidRDefault="003C56DC" w:rsidP="003C56DC">
      <w:pPr>
        <w:ind w:firstLine="720"/>
        <w:jc w:val="both"/>
      </w:pPr>
      <w:r>
        <w:t>2. Main body of text in at least 12-point font and footnotes in at least 10-point font.</w:t>
      </w:r>
    </w:p>
    <w:p w14:paraId="47D3E19D" w14:textId="77777777" w:rsidR="003C56DC" w:rsidRDefault="003C56DC" w:rsidP="003C56DC">
      <w:pPr>
        <w:ind w:firstLine="720"/>
        <w:jc w:val="both"/>
      </w:pPr>
      <w:r>
        <w:t>3. Citations to be in main body of text and not in footnotes.</w:t>
      </w:r>
    </w:p>
    <w:p w14:paraId="26830D2B" w14:textId="77777777" w:rsidR="003C56DC" w:rsidRDefault="003C56DC" w:rsidP="003C56DC">
      <w:pPr>
        <w:ind w:firstLine="720"/>
        <w:jc w:val="both"/>
      </w:pPr>
    </w:p>
    <w:p w14:paraId="0C9CE8E4" w14:textId="17E482D1" w:rsidR="003C56DC" w:rsidRDefault="00A67454" w:rsidP="00A67454">
      <w:pPr>
        <w:jc w:val="both"/>
        <w:rPr>
          <w:b/>
          <w:bCs/>
        </w:rPr>
      </w:pPr>
      <w:r>
        <w:rPr>
          <w:b/>
          <w:bCs/>
        </w:rPr>
        <w:t>VI.</w:t>
      </w:r>
      <w:r>
        <w:rPr>
          <w:b/>
          <w:bCs/>
        </w:rPr>
        <w:tab/>
      </w:r>
      <w:r w:rsidR="003C56DC">
        <w:rPr>
          <w:b/>
          <w:bCs/>
          <w:u w:val="single"/>
        </w:rPr>
        <w:t>DEADLINES</w:t>
      </w:r>
    </w:p>
    <w:p w14:paraId="7A9F2421" w14:textId="77777777" w:rsidR="003C56DC" w:rsidRDefault="003C56DC" w:rsidP="003C56DC">
      <w:pPr>
        <w:jc w:val="both"/>
        <w:rPr>
          <w:b/>
          <w:bCs/>
        </w:rPr>
      </w:pPr>
    </w:p>
    <w:p w14:paraId="4639F3C2" w14:textId="77777777" w:rsidR="003C56DC" w:rsidRDefault="003C56DC" w:rsidP="003C56DC">
      <w:pPr>
        <w:jc w:val="both"/>
      </w:pPr>
      <w:r>
        <w:t>All deadlines set forth in the Scheduling Order and any other Order issued by this Court are firm deadlines.  The parties shall</w:t>
      </w:r>
      <w:r>
        <w:rPr>
          <w:b/>
          <w:bCs/>
        </w:rPr>
        <w:t xml:space="preserve"> </w:t>
      </w:r>
      <w:r>
        <w:t xml:space="preserve">file all required documents by the dates set forth in these Orders unless </w:t>
      </w:r>
      <w:r>
        <w:lastRenderedPageBreak/>
        <w:t>prior approval of the Court for filing on a later date has been obtained.  The Court can and will impose sanctions, including monetary sanctions, for failure to meet these deadlines.</w:t>
      </w:r>
    </w:p>
    <w:p w14:paraId="3849375D" w14:textId="77777777" w:rsidR="003C56DC" w:rsidRDefault="003C56DC" w:rsidP="003C56DC">
      <w:pPr>
        <w:jc w:val="both"/>
      </w:pPr>
    </w:p>
    <w:p w14:paraId="6BDDB51D" w14:textId="44074DD7" w:rsidR="003C56DC" w:rsidRDefault="00A67454" w:rsidP="00A67454">
      <w:pPr>
        <w:jc w:val="both"/>
        <w:rPr>
          <w:b/>
          <w:bCs/>
        </w:rPr>
      </w:pPr>
      <w:r>
        <w:rPr>
          <w:b/>
          <w:bCs/>
        </w:rPr>
        <w:t>VII.</w:t>
      </w:r>
      <w:r>
        <w:rPr>
          <w:b/>
          <w:bCs/>
        </w:rPr>
        <w:tab/>
      </w:r>
      <w:r w:rsidR="003C56DC">
        <w:rPr>
          <w:b/>
          <w:bCs/>
          <w:u w:val="single"/>
        </w:rPr>
        <w:t>MOTIONS FOR EXTENSIONS OF TIME</w:t>
      </w:r>
    </w:p>
    <w:p w14:paraId="3379FA92" w14:textId="77777777" w:rsidR="003C56DC" w:rsidRDefault="003C56DC" w:rsidP="003C56DC">
      <w:pPr>
        <w:jc w:val="both"/>
      </w:pPr>
    </w:p>
    <w:p w14:paraId="698E6F34" w14:textId="77777777" w:rsidR="003C56DC" w:rsidRDefault="003C56DC" w:rsidP="003C56DC">
      <w:pPr>
        <w:jc w:val="both"/>
      </w:pPr>
      <w:r>
        <w:t>The deadlines set forth by the Court are firm and are not to be extended as a matter of routine.  Any request for additional extensions will be granted only upon a showing of good cause.  Counsel are advised that the press of other business, including obligations in other matters, does not constitute good cause for purposes of obtaining an additional extension.</w:t>
      </w:r>
    </w:p>
    <w:p w14:paraId="184D18A0" w14:textId="77777777" w:rsidR="003C56DC" w:rsidRDefault="003C56DC" w:rsidP="003C56DC">
      <w:pPr>
        <w:jc w:val="both"/>
      </w:pPr>
    </w:p>
    <w:p w14:paraId="60B679D4" w14:textId="77777777" w:rsidR="003C56DC" w:rsidRDefault="003C56DC" w:rsidP="003C56DC">
      <w:pPr>
        <w:jc w:val="both"/>
      </w:pPr>
      <w:r>
        <w:t>If a motion for an extension of time is filed, such motion shall state whether or not the opposing party consents to the extension in accordance with S.D. Ohio Civ. R. 7.3.</w:t>
      </w:r>
    </w:p>
    <w:p w14:paraId="536CB3B3" w14:textId="77777777" w:rsidR="003C56DC" w:rsidRDefault="003C56DC" w:rsidP="003C56DC">
      <w:pPr>
        <w:jc w:val="both"/>
      </w:pPr>
    </w:p>
    <w:p w14:paraId="0C36B345" w14:textId="0BEF822A" w:rsidR="003C56DC" w:rsidRDefault="00A67454" w:rsidP="003C56DC">
      <w:pPr>
        <w:jc w:val="both"/>
        <w:rPr>
          <w:b/>
          <w:bCs/>
        </w:rPr>
      </w:pPr>
      <w:r>
        <w:rPr>
          <w:b/>
          <w:bCs/>
        </w:rPr>
        <w:t>VIII.</w:t>
      </w:r>
      <w:r>
        <w:rPr>
          <w:b/>
          <w:bCs/>
        </w:rPr>
        <w:tab/>
      </w:r>
      <w:r w:rsidR="003C56DC">
        <w:rPr>
          <w:b/>
          <w:bCs/>
          <w:u w:val="single"/>
        </w:rPr>
        <w:t>SEALING AND REDACTING DOCUMENTS</w:t>
      </w:r>
    </w:p>
    <w:p w14:paraId="29881E5B" w14:textId="77777777" w:rsidR="003C56DC" w:rsidRDefault="003C56DC" w:rsidP="003C56DC">
      <w:pPr>
        <w:jc w:val="both"/>
      </w:pPr>
    </w:p>
    <w:p w14:paraId="66015D0D" w14:textId="77777777" w:rsidR="003C56DC" w:rsidRDefault="003C56DC" w:rsidP="003C56DC">
      <w:pPr>
        <w:jc w:val="both"/>
      </w:pPr>
      <w:r>
        <w:t>Pursuant to S.D. Ohio Civ. R. 5.2.1., unless permitted by statute, parties may not file documents under seal without obtaining leave of Court upon motion and for good cause shown.  The Court typically allows parties to redact specific information (generally a few words), on a limited basis as necessary to protect bona fide trade secrets or other confidential matters.  Before filing a document with redactions, the party must seek leave to do so, explaining the basis for each redaction requested, and certifying that the party has conferred with the producing party and the producing party’s position (if the party did not produce the document).  A motion for leave must be filed sufficiently in advance of the deadline (typically at least seven (7) days).</w:t>
      </w:r>
    </w:p>
    <w:p w14:paraId="5D5BAD50" w14:textId="77777777" w:rsidR="003C56DC" w:rsidRDefault="003C56DC" w:rsidP="003C56DC">
      <w:pPr>
        <w:jc w:val="both"/>
      </w:pPr>
    </w:p>
    <w:p w14:paraId="2114BDFE" w14:textId="77777777" w:rsidR="003C56DC" w:rsidRDefault="003C56DC" w:rsidP="003C56DC">
      <w:pPr>
        <w:jc w:val="both"/>
      </w:pPr>
      <w:r>
        <w:t xml:space="preserve">Upon obtaining leave of Court, litigants other than pro se litigants must file the documents electronically using the ECF system as provided in S.D. Ohio Civ. R. 5.1.  Pro se litigants who have obtained leave must follow the procedures set forth in Rule 5.2.1(b).  The redacted, public version must be filed on the docket within fourteen (14) days of filing the document under seal, unless otherwise specified.  </w:t>
      </w:r>
    </w:p>
    <w:p w14:paraId="33C96A47" w14:textId="77777777" w:rsidR="003C56DC" w:rsidRDefault="003C56DC" w:rsidP="003C56DC">
      <w:pPr>
        <w:jc w:val="both"/>
      </w:pPr>
    </w:p>
    <w:p w14:paraId="50FEF7B0" w14:textId="77777777" w:rsidR="003C56DC" w:rsidRDefault="003C56DC" w:rsidP="003C56DC">
      <w:pPr>
        <w:jc w:val="both"/>
      </w:pPr>
      <w:r>
        <w:t xml:space="preserve">The Court expects the parties to justify any request for redactions or sealing a document in its entirety under </w:t>
      </w:r>
      <w:r>
        <w:rPr>
          <w:i/>
          <w:iCs/>
        </w:rPr>
        <w:t>Shane Group, Inc. v. Blue Cross Blue Shield of Michigan</w:t>
      </w:r>
      <w:r>
        <w:t>, 825 F.3d 299 (6th Cir. 2016).  The Court may strike any document filed under seal if the filing party failed to obtain leave of Court.</w:t>
      </w:r>
    </w:p>
    <w:p w14:paraId="6071093B" w14:textId="77777777" w:rsidR="003C56DC" w:rsidRDefault="003C56DC" w:rsidP="003C56DC">
      <w:pPr>
        <w:jc w:val="both"/>
      </w:pPr>
    </w:p>
    <w:p w14:paraId="6B7C04A8" w14:textId="7325C7E0" w:rsidR="003C56DC" w:rsidRDefault="00A67454" w:rsidP="00A67454">
      <w:pPr>
        <w:keepNext/>
        <w:pBdr>
          <w:top w:val="nil"/>
          <w:left w:val="nil"/>
          <w:bottom w:val="nil"/>
          <w:right w:val="nil"/>
          <w:between w:val="nil"/>
        </w:pBdr>
        <w:jc w:val="both"/>
        <w:rPr>
          <w:b/>
          <w:bCs/>
          <w:color w:val="000000"/>
        </w:rPr>
      </w:pPr>
      <w:r w:rsidRPr="00A67454">
        <w:rPr>
          <w:b/>
          <w:bCs/>
          <w:color w:val="000000"/>
        </w:rPr>
        <w:t>IX.</w:t>
      </w:r>
      <w:r w:rsidRPr="00A67454">
        <w:rPr>
          <w:b/>
          <w:bCs/>
          <w:color w:val="000000"/>
        </w:rPr>
        <w:tab/>
      </w:r>
      <w:r w:rsidR="003C56DC">
        <w:rPr>
          <w:b/>
          <w:bCs/>
          <w:color w:val="000000"/>
          <w:u w:val="single"/>
        </w:rPr>
        <w:t>USE OF ARTIFICIAL INTELLIGENCE</w:t>
      </w:r>
    </w:p>
    <w:p w14:paraId="0FCB9446" w14:textId="77777777" w:rsidR="003C56DC" w:rsidRDefault="003C56DC" w:rsidP="003C56DC">
      <w:pPr>
        <w:keepNext/>
        <w:jc w:val="both"/>
      </w:pPr>
    </w:p>
    <w:p w14:paraId="100402FF" w14:textId="77777777" w:rsidR="003C56DC" w:rsidRDefault="003C56DC" w:rsidP="003C56DC">
      <w:pPr>
        <w:keepNext/>
        <w:jc w:val="both"/>
      </w:pPr>
      <w:r>
        <w:t xml:space="preserve">The Court recognizes that litigants and counsel may use artificial intelligence (“AI”) tools in the course of legal research and drafting.  However, such tools have been known to generate inaccurate information, including fabricated or “hallucinated” cases, quotations, and citations, and may produce material not grounded in the facts of the case.  Any party who uses AI in the preparation of filings submitted to the Court remains fully responsible for the accuracy and integrity of the submission.  Accordingly, parties, including pro se parties, must independently verify the accuracy of all factual statements, legal authorities, and citations generated by any AI tool before submitting </w:t>
      </w:r>
      <w:r>
        <w:lastRenderedPageBreak/>
        <w:t xml:space="preserve">a filing.  </w:t>
      </w:r>
    </w:p>
    <w:p w14:paraId="04F3A1A5" w14:textId="77777777" w:rsidR="003C56DC" w:rsidRDefault="003C56DC" w:rsidP="003C56DC">
      <w:pPr>
        <w:jc w:val="both"/>
      </w:pPr>
    </w:p>
    <w:p w14:paraId="79D5C690" w14:textId="118CE27A" w:rsidR="00B8383C" w:rsidRDefault="003C56DC" w:rsidP="00917417">
      <w:pPr>
        <w:jc w:val="both"/>
      </w:pPr>
      <w:r>
        <w:t>The submission of filings containing fabricated authorities, inaccurate citations, or other AI-generated material that has not been properly verified may constitute a violation of this Order and/or Federal Rule of Civil Procedure 11.  The Court may impose appropriate sanctions for such violations, including but not limited to striking the offending filing, imposing monetary sanctions, holding a party in contempt, dismissing a plaintiff’s lawsuit, or striking a defense.</w:t>
      </w:r>
    </w:p>
    <w:p w14:paraId="25128238" w14:textId="77777777" w:rsidR="00917417" w:rsidRDefault="00917417" w:rsidP="00917417">
      <w:pPr>
        <w:jc w:val="both"/>
      </w:pPr>
    </w:p>
    <w:p w14:paraId="5700F41D" w14:textId="77777777" w:rsidR="00917417" w:rsidRDefault="00917417" w:rsidP="00917417">
      <w:pPr>
        <w:jc w:val="both"/>
      </w:pPr>
    </w:p>
    <w:p w14:paraId="23CF1B43" w14:textId="77777777" w:rsidR="00917417" w:rsidRDefault="00917417" w:rsidP="00917417">
      <w:pPr>
        <w:rPr>
          <w:b/>
          <w:bCs/>
          <w:color w:val="000000"/>
        </w:rPr>
      </w:pPr>
      <w:r>
        <w:rPr>
          <w:b/>
          <w:bCs/>
          <w:color w:val="000000"/>
        </w:rPr>
        <w:t>IT IS SO ORDERED.</w:t>
      </w:r>
    </w:p>
    <w:p w14:paraId="5B55AC5C" w14:textId="77777777" w:rsidR="00917417" w:rsidRDefault="00917417" w:rsidP="00917417">
      <w:pPr>
        <w:rPr>
          <w:color w:val="000000"/>
        </w:rPr>
      </w:pPr>
    </w:p>
    <w:p w14:paraId="00C22928" w14:textId="77777777" w:rsidR="00917417" w:rsidRDefault="00917417" w:rsidP="00917417">
      <w:pPr>
        <w:tabs>
          <w:tab w:val="left" w:pos="720"/>
          <w:tab w:val="left" w:pos="1440"/>
          <w:tab w:val="left" w:pos="2160"/>
          <w:tab w:val="left" w:pos="2880"/>
          <w:tab w:val="left" w:pos="3600"/>
          <w:tab w:val="left" w:pos="4320"/>
          <w:tab w:val="left" w:pos="5040"/>
        </w:tabs>
        <w:ind w:left="5220" w:hanging="5220"/>
      </w:pPr>
    </w:p>
    <w:p w14:paraId="33B18DF1" w14:textId="63DDEA23" w:rsidR="00917417" w:rsidRDefault="00917417" w:rsidP="00917417">
      <w:pPr>
        <w:tabs>
          <w:tab w:val="left" w:pos="720"/>
          <w:tab w:val="left" w:pos="1440"/>
          <w:tab w:val="left" w:pos="2160"/>
          <w:tab w:val="left" w:pos="2880"/>
          <w:tab w:val="left" w:pos="3600"/>
          <w:tab w:val="left" w:pos="4320"/>
          <w:tab w:val="left" w:pos="5040"/>
        </w:tabs>
        <w:ind w:left="5220" w:hanging="5220"/>
      </w:pPr>
      <w:r>
        <w:t>Date: 03/16/2026</w:t>
      </w:r>
      <w:r>
        <w:tab/>
      </w:r>
      <w:r>
        <w:tab/>
      </w:r>
      <w:r>
        <w:tab/>
      </w:r>
      <w:r>
        <w:tab/>
      </w:r>
      <w:r>
        <w:tab/>
      </w:r>
      <w:r>
        <w:rPr>
          <w:u w:val="single"/>
        </w:rPr>
        <w:t xml:space="preserve"> </w:t>
      </w:r>
      <w:r>
        <w:rPr>
          <w:i/>
          <w:iCs/>
          <w:u w:val="single"/>
        </w:rPr>
        <w:t>s/ S. Courter M. Shimeall</w:t>
      </w:r>
      <w:r w:rsidR="00A64E25">
        <w:rPr>
          <w:i/>
          <w:iCs/>
          <w:u w:val="single"/>
        </w:rPr>
        <w:tab/>
      </w:r>
      <w:r w:rsidR="00A64E25">
        <w:rPr>
          <w:i/>
          <w:iCs/>
          <w:u w:val="single"/>
        </w:rPr>
        <w:tab/>
      </w:r>
      <w:r>
        <w:rPr>
          <w:i/>
          <w:iCs/>
          <w:u w:val="single"/>
        </w:rPr>
        <w:tab/>
      </w:r>
      <w:r>
        <w:rPr>
          <w:u w:val="single"/>
        </w:rPr>
        <w:t xml:space="preserve">            </w:t>
      </w:r>
    </w:p>
    <w:p w14:paraId="3D9F290C" w14:textId="77777777" w:rsidR="00917417" w:rsidRDefault="00917417" w:rsidP="00917417">
      <w:r>
        <w:tab/>
      </w:r>
      <w:r>
        <w:tab/>
      </w:r>
      <w:r>
        <w:tab/>
      </w:r>
      <w:r>
        <w:tab/>
      </w:r>
      <w:r>
        <w:tab/>
      </w:r>
      <w:r>
        <w:tab/>
      </w:r>
      <w:r>
        <w:tab/>
        <w:t>S. Courter M. Shimeall, Magistrate Judge</w:t>
      </w:r>
    </w:p>
    <w:p w14:paraId="1141C92A" w14:textId="0C8259E9" w:rsidR="00917417" w:rsidRDefault="00917417" w:rsidP="00917417">
      <w:r>
        <w:tab/>
      </w:r>
      <w:r>
        <w:tab/>
      </w:r>
      <w:r>
        <w:tab/>
      </w:r>
      <w:r>
        <w:tab/>
      </w:r>
      <w:r>
        <w:tab/>
      </w:r>
      <w:r>
        <w:tab/>
      </w:r>
      <w:r>
        <w:tab/>
        <w:t>United States District Cou</w:t>
      </w:r>
      <w:r>
        <w:t>rt</w:t>
      </w:r>
    </w:p>
    <w:sectPr w:rsidR="009174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95DD" w14:textId="77777777" w:rsidR="003C56DC" w:rsidRDefault="003C56DC" w:rsidP="003C56DC">
      <w:r>
        <w:separator/>
      </w:r>
    </w:p>
  </w:endnote>
  <w:endnote w:type="continuationSeparator" w:id="0">
    <w:p w14:paraId="746C6431" w14:textId="77777777" w:rsidR="003C56DC" w:rsidRDefault="003C56DC" w:rsidP="003C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016" w14:textId="77777777" w:rsidR="003C56DC" w:rsidRDefault="003C56DC"/>
  <w:p w14:paraId="1E5F99B9" w14:textId="77777777" w:rsidR="003C56DC" w:rsidRDefault="003C56DC">
    <w:pPr>
      <w:jc w:val="center"/>
    </w:pPr>
    <w:r>
      <w:fldChar w:fldCharType="begin"/>
    </w:r>
    <w:r>
      <w:instrText>PAGE</w:instrText>
    </w:r>
    <w:r>
      <w:fldChar w:fldCharType="separate"/>
    </w:r>
    <w:r>
      <w:rPr>
        <w:noProof/>
      </w:rPr>
      <w:t>2</w:t>
    </w:r>
    <w:r>
      <w:fldChar w:fldCharType="end"/>
    </w:r>
  </w:p>
  <w:p w14:paraId="54992041" w14:textId="77777777" w:rsidR="003C56DC" w:rsidRDefault="003C56DC"/>
  <w:p w14:paraId="1177337C" w14:textId="77777777" w:rsidR="003C56DC" w:rsidRDefault="003C5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7AB9" w14:textId="77777777" w:rsidR="003C56DC" w:rsidRDefault="003C56DC" w:rsidP="003C56DC">
      <w:r>
        <w:separator/>
      </w:r>
    </w:p>
  </w:footnote>
  <w:footnote w:type="continuationSeparator" w:id="0">
    <w:p w14:paraId="3F50E03F" w14:textId="77777777" w:rsidR="003C56DC" w:rsidRDefault="003C56DC" w:rsidP="003C56DC">
      <w:r>
        <w:continuationSeparator/>
      </w:r>
    </w:p>
  </w:footnote>
  <w:footnote w:id="1">
    <w:p w14:paraId="3C2143EE" w14:textId="77777777" w:rsidR="003C56DC" w:rsidRDefault="003C56DC" w:rsidP="003C56DC">
      <w:pPr>
        <w:spacing w:after="240"/>
        <w:jc w:val="both"/>
        <w:rPr>
          <w:sz w:val="20"/>
          <w:szCs w:val="20"/>
        </w:rPr>
      </w:pPr>
      <w:r>
        <w:rPr>
          <w:rStyle w:val="FootnoteReference"/>
          <w:rFonts w:eastAsiaTheme="majorEastAsia"/>
          <w:vertAlign w:val="superscript"/>
        </w:rPr>
        <w:footnoteRef/>
      </w:r>
      <w:r>
        <w:rPr>
          <w:sz w:val="20"/>
          <w:szCs w:val="20"/>
        </w:rPr>
        <w:t xml:space="preserve">These procedures shall apply in cases to which the parties consent to final judgment by the Magistrate Judge and in cases referred by the District Judge pursuant to 28 U.S.C. § 636. However, if the District Judge’s Standing Orders differ from these procedures, follow the District Judge’s guidance.  If you have questions, you may contact the </w:t>
      </w:r>
      <w:r w:rsidRPr="00E20BF7">
        <w:rPr>
          <w:sz w:val="20"/>
          <w:szCs w:val="20"/>
        </w:rPr>
        <w:t>Courtroom Deputy</w:t>
      </w:r>
      <w:r>
        <w:rPr>
          <w:sz w:val="20"/>
          <w:szCs w:val="20"/>
        </w:rPr>
        <w:t xml:space="preserve"> at 614-719-3460</w:t>
      </w:r>
      <w:r w:rsidRPr="0063604C">
        <w:rPr>
          <w:sz w:val="20"/>
          <w:szCs w:val="20"/>
        </w:rPr>
        <w:t>.</w:t>
      </w:r>
    </w:p>
  </w:footnote>
  <w:footnote w:id="2">
    <w:p w14:paraId="21A93233" w14:textId="42A9DF44" w:rsidR="003C56DC" w:rsidRDefault="003C56DC" w:rsidP="00526577">
      <w:pPr>
        <w:jc w:val="both"/>
        <w:rPr>
          <w:sz w:val="20"/>
          <w:szCs w:val="20"/>
        </w:rPr>
      </w:pPr>
      <w:r>
        <w:rPr>
          <w:rStyle w:val="FootnoteReference"/>
          <w:rFonts w:eastAsiaTheme="majorEastAsia"/>
          <w:vertAlign w:val="superscript"/>
        </w:rPr>
        <w:footnoteRef/>
      </w:r>
      <w:r>
        <w:rPr>
          <w:sz w:val="20"/>
          <w:szCs w:val="20"/>
        </w:rPr>
        <w:t xml:space="preserve">Under Fed. R. Civ. P. 26(a)(1)(B) and (f), the following categories of cases are exempt from the requirements for a Rule 16(b) Preliminary Pretrial Conference, a discovery plan, and mandatory disclosure: (i) an action for review on an administrative record (e.g., Social Security benefits and certain ERISA cases); (ii) a petition for habeas corpus; (iii) a </w:t>
      </w:r>
      <w:r w:rsidRPr="00E20BF7">
        <w:rPr>
          <w:sz w:val="20"/>
          <w:szCs w:val="20"/>
        </w:rPr>
        <w:t>pro se</w:t>
      </w:r>
      <w:r>
        <w:rPr>
          <w:i/>
          <w:iCs/>
          <w:sz w:val="20"/>
          <w:szCs w:val="20"/>
        </w:rPr>
        <w:t xml:space="preserve"> </w:t>
      </w:r>
      <w:r>
        <w:rPr>
          <w:sz w:val="20"/>
          <w:szCs w:val="20"/>
        </w:rPr>
        <w:t>prisoner action; (iv) an action to enforce or quash an administrative subpoena; (v) an action by the United States to recover benefit payments; (vi) a government student loan case; (vii) a proceeding ancillary to actions in other courts; and (viii) an action to enforce an arbitration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9C8"/>
    <w:multiLevelType w:val="multilevel"/>
    <w:tmpl w:val="868C315E"/>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378731A"/>
    <w:multiLevelType w:val="multilevel"/>
    <w:tmpl w:val="1DDCD054"/>
    <w:lvl w:ilvl="0">
      <w:start w:val="1"/>
      <w:numFmt w:val="decimal"/>
      <w:lvlText w:val="%1."/>
      <w:lvlJc w:val="left"/>
      <w:pPr>
        <w:ind w:left="2160" w:hanging="720"/>
      </w:pPr>
      <w:rPr>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D641927"/>
    <w:multiLevelType w:val="multilevel"/>
    <w:tmpl w:val="581EFE6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0F6504A"/>
    <w:multiLevelType w:val="multilevel"/>
    <w:tmpl w:val="B08C7B8C"/>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40649715">
    <w:abstractNumId w:val="3"/>
  </w:num>
  <w:num w:numId="2" w16cid:durableId="712118566">
    <w:abstractNumId w:val="2"/>
  </w:num>
  <w:num w:numId="3" w16cid:durableId="1773085543">
    <w:abstractNumId w:val="0"/>
  </w:num>
  <w:num w:numId="4" w16cid:durableId="108935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DC"/>
    <w:rsid w:val="000925D3"/>
    <w:rsid w:val="001075C4"/>
    <w:rsid w:val="003C56DC"/>
    <w:rsid w:val="00526577"/>
    <w:rsid w:val="0079284B"/>
    <w:rsid w:val="008522B2"/>
    <w:rsid w:val="00917417"/>
    <w:rsid w:val="00A64E25"/>
    <w:rsid w:val="00A67454"/>
    <w:rsid w:val="00B37192"/>
    <w:rsid w:val="00B8383C"/>
    <w:rsid w:val="00DE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BE7A"/>
  <w15:chartTrackingRefBased/>
  <w15:docId w15:val="{EF89B9F3-CD36-4DEA-8D63-B87C8E52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DC"/>
    <w:pPr>
      <w:widowControl w:val="0"/>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3C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6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6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6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6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6DC"/>
    <w:rPr>
      <w:rFonts w:eastAsiaTheme="majorEastAsia" w:cstheme="majorBidi"/>
      <w:color w:val="272727" w:themeColor="text1" w:themeTint="D8"/>
    </w:rPr>
  </w:style>
  <w:style w:type="paragraph" w:styleId="Title">
    <w:name w:val="Title"/>
    <w:basedOn w:val="Normal"/>
    <w:next w:val="Normal"/>
    <w:link w:val="TitleChar"/>
    <w:uiPriority w:val="10"/>
    <w:qFormat/>
    <w:rsid w:val="003C56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6DC"/>
    <w:pPr>
      <w:spacing w:before="160"/>
      <w:jc w:val="center"/>
    </w:pPr>
    <w:rPr>
      <w:i/>
      <w:iCs/>
      <w:color w:val="404040" w:themeColor="text1" w:themeTint="BF"/>
    </w:rPr>
  </w:style>
  <w:style w:type="character" w:customStyle="1" w:styleId="QuoteChar">
    <w:name w:val="Quote Char"/>
    <w:basedOn w:val="DefaultParagraphFont"/>
    <w:link w:val="Quote"/>
    <w:uiPriority w:val="29"/>
    <w:rsid w:val="003C56DC"/>
    <w:rPr>
      <w:i/>
      <w:iCs/>
      <w:color w:val="404040" w:themeColor="text1" w:themeTint="BF"/>
    </w:rPr>
  </w:style>
  <w:style w:type="paragraph" w:styleId="ListParagraph">
    <w:name w:val="List Paragraph"/>
    <w:basedOn w:val="Normal"/>
    <w:uiPriority w:val="34"/>
    <w:qFormat/>
    <w:rsid w:val="003C56DC"/>
    <w:pPr>
      <w:ind w:left="720"/>
      <w:contextualSpacing/>
    </w:pPr>
  </w:style>
  <w:style w:type="character" w:styleId="IntenseEmphasis">
    <w:name w:val="Intense Emphasis"/>
    <w:basedOn w:val="DefaultParagraphFont"/>
    <w:uiPriority w:val="21"/>
    <w:qFormat/>
    <w:rsid w:val="003C56DC"/>
    <w:rPr>
      <w:i/>
      <w:iCs/>
      <w:color w:val="0F4761" w:themeColor="accent1" w:themeShade="BF"/>
    </w:rPr>
  </w:style>
  <w:style w:type="paragraph" w:styleId="IntenseQuote">
    <w:name w:val="Intense Quote"/>
    <w:basedOn w:val="Normal"/>
    <w:next w:val="Normal"/>
    <w:link w:val="IntenseQuoteChar"/>
    <w:uiPriority w:val="30"/>
    <w:qFormat/>
    <w:rsid w:val="003C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6DC"/>
    <w:rPr>
      <w:i/>
      <w:iCs/>
      <w:color w:val="0F4761" w:themeColor="accent1" w:themeShade="BF"/>
    </w:rPr>
  </w:style>
  <w:style w:type="character" w:styleId="IntenseReference">
    <w:name w:val="Intense Reference"/>
    <w:basedOn w:val="DefaultParagraphFont"/>
    <w:uiPriority w:val="32"/>
    <w:qFormat/>
    <w:rsid w:val="003C56DC"/>
    <w:rPr>
      <w:b/>
      <w:bCs/>
      <w:smallCaps/>
      <w:color w:val="0F4761" w:themeColor="accent1" w:themeShade="BF"/>
      <w:spacing w:val="5"/>
    </w:rPr>
  </w:style>
  <w:style w:type="character" w:styleId="FootnoteReference">
    <w:name w:val="footnote reference"/>
    <w:uiPriority w:val="99"/>
    <w:rsid w:val="003C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sd.uscourts.gov/ohio-southern-district-forms" TargetMode="External"/><Relationship Id="rId3" Type="http://schemas.openxmlformats.org/officeDocument/2006/relationships/settings" Target="settings.xml"/><Relationship Id="rId7" Type="http://schemas.openxmlformats.org/officeDocument/2006/relationships/hyperlink" Target="https://www.ohsd.uscourts.gov/ohio-southern-district-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Troyer</dc:creator>
  <cp:keywords/>
  <dc:description/>
  <cp:lastModifiedBy>Madison Troyer</cp:lastModifiedBy>
  <cp:revision>8</cp:revision>
  <dcterms:created xsi:type="dcterms:W3CDTF">2026-03-16T21:19:00Z</dcterms:created>
  <dcterms:modified xsi:type="dcterms:W3CDTF">2026-03-16T21:26:00Z</dcterms:modified>
</cp:coreProperties>
</file>